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468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8"/>
      </w:tblGrid>
      <w:tr w14:paraId="5A4B4C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9468" w:type="dxa"/>
            <w:shd w:val="clear" w:color="auto" w:fill="auto"/>
            <w:noWrap/>
            <w:vAlign w:val="bottom"/>
          </w:tcPr>
          <w:tbl>
            <w:tblPr>
              <w:tblStyle w:val="4"/>
              <w:tblpPr w:leftFromText="180" w:rightFromText="180" w:vertAnchor="page" w:horzAnchor="page" w:tblpX="666" w:tblpY="104"/>
              <w:tblOverlap w:val="never"/>
              <w:tblW w:w="9342" w:type="dxa"/>
              <w:tblCellSpacing w:w="0" w:type="dxa"/>
              <w:tblInd w:w="0" w:type="dxa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342"/>
            </w:tblGrid>
            <w:tr w14:paraId="78E0FCDD">
              <w:trPr>
                <w:trHeight w:val="1485" w:hRule="atLeast"/>
                <w:tblCellSpacing w:w="0" w:type="dxa"/>
              </w:trPr>
              <w:tc>
                <w:tcPr>
                  <w:tcW w:w="9342" w:type="dxa"/>
                  <w:shd w:val="clear" w:color="auto" w:fill="auto"/>
                  <w:vAlign w:val="center"/>
                </w:tcPr>
                <w:p w14:paraId="7ADFDAFC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color w:val="000000"/>
                      <w:sz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color w:val="000000"/>
                      <w:sz w:val="24"/>
                      <w:lang w:bidi="ar-SA"/>
                    </w:rPr>
                    <w:drawing>
                      <wp:anchor distT="0" distB="0" distL="114300" distR="114300" simplePos="0" relativeHeight="251659264" behindDoc="0" locked="0" layoutInCell="1" allowOverlap="1">
                        <wp:simplePos x="0" y="0"/>
                        <wp:positionH relativeFrom="column">
                          <wp:posOffset>-40005</wp:posOffset>
                        </wp:positionH>
                        <wp:positionV relativeFrom="paragraph">
                          <wp:posOffset>8255</wp:posOffset>
                        </wp:positionV>
                        <wp:extent cx="807720" cy="797560"/>
                        <wp:effectExtent l="0" t="0" r="0" b="10160"/>
                        <wp:wrapNone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00100" cy="7334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ascii="Times New Roman" w:hAnsi="Times New Roman" w:eastAsia="Times New Roman" w:cs="Times New Roman"/>
                      <w:b/>
                      <w:bCs/>
                      <w:color w:val="000000"/>
                      <w:sz w:val="32"/>
                      <w:szCs w:val="28"/>
                    </w:rPr>
                    <w:t>Gurukul Education Society’s</w:t>
                  </w:r>
                  <w:r>
                    <w:rPr>
                      <w:rFonts w:ascii="Times New Roman" w:hAnsi="Times New Roman" w:eastAsia="Times New Roman" w:cs="Times New Roman"/>
                      <w:b/>
                      <w:bCs/>
                      <w:color w:val="000000"/>
                      <w:sz w:val="32"/>
                      <w:szCs w:val="28"/>
                    </w:rPr>
                    <w:br w:type="textWrapping"/>
                  </w:r>
                  <w:r>
                    <w:rPr>
                      <w:rFonts w:ascii="Times New Roman" w:hAnsi="Times New Roman" w:eastAsia="Times New Roman" w:cs="Times New Roman"/>
                      <w:b/>
                      <w:bCs/>
                      <w:color w:val="000000"/>
                      <w:sz w:val="32"/>
                      <w:szCs w:val="28"/>
                    </w:rPr>
                    <w:t>Institute of Engineering &amp; Technology, Nandgaon</w:t>
                  </w:r>
                  <w:r>
                    <w:rPr>
                      <w:rFonts w:ascii="Times New Roman" w:hAnsi="Times New Roman" w:eastAsia="Times New Roman" w:cs="Times New Roman"/>
                      <w:color w:val="000000"/>
                      <w:sz w:val="24"/>
                    </w:rPr>
                    <w:br w:type="textWrapping"/>
                  </w:r>
                  <w:r>
                    <w:rPr>
                      <w:rFonts w:ascii="Times New Roman" w:hAnsi="Times New Roman" w:eastAsia="Times New Roman" w:cs="Times New Roman"/>
                      <w:color w:val="000000"/>
                      <w:sz w:val="20"/>
                      <w:szCs w:val="18"/>
                    </w:rPr>
                    <w:t>34/1/B, 34/2, Phulenagar, Manmad Road, NANDGAON, Nashik-423106</w:t>
                  </w:r>
                  <w:r>
                    <w:rPr>
                      <w:rFonts w:ascii="Times New Roman" w:hAnsi="Times New Roman" w:eastAsia="Times New Roman" w:cs="Times New Roman"/>
                      <w:color w:val="000000"/>
                      <w:sz w:val="20"/>
                      <w:szCs w:val="18"/>
                    </w:rPr>
                    <w:br w:type="textWrapping"/>
                  </w:r>
                  <w:r>
                    <w:rPr>
                      <w:rFonts w:ascii="Times New Roman" w:hAnsi="Times New Roman" w:eastAsia="Times New Roman" w:cs="Times New Roman"/>
                      <w:color w:val="000000"/>
                      <w:sz w:val="20"/>
                      <w:szCs w:val="18"/>
                    </w:rPr>
                    <w:t>Tele. No.  (02552) 243388, 243488, 243688    Fax: 243688</w:t>
                  </w:r>
                  <w:r>
                    <w:rPr>
                      <w:rFonts w:ascii="Times New Roman" w:hAnsi="Times New Roman" w:eastAsia="Times New Roman" w:cs="Times New Roman"/>
                      <w:color w:val="000000"/>
                      <w:sz w:val="20"/>
                      <w:szCs w:val="18"/>
                    </w:rPr>
                    <w:br w:type="textWrapping"/>
                  </w:r>
                  <w:r>
                    <w:rPr>
                      <w:rFonts w:ascii="Times New Roman" w:hAnsi="Times New Roman" w:eastAsia="Times New Roman" w:cs="Times New Roman"/>
                      <w:color w:val="000000"/>
                      <w:sz w:val="20"/>
                      <w:szCs w:val="18"/>
                    </w:rPr>
                    <w:t>Web Site: www.gurukulpolytechnic.org             Email ID: - gurukulpolytechnic@gmail.com</w:t>
                  </w:r>
                </w:p>
              </w:tc>
            </w:tr>
          </w:tbl>
          <w:p w14:paraId="6A51AC4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</w:rPr>
            </w:pPr>
          </w:p>
        </w:tc>
      </w:tr>
    </w:tbl>
    <w:p w14:paraId="761212EE">
      <w:pPr>
        <w:shd w:val="clear" w:color="auto" w:fill="FFFFFF"/>
        <w:spacing w:after="225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color w:val="FF0066"/>
          <w:sz w:val="48"/>
          <w:szCs w:val="48"/>
          <w:lang w:bidi="mr-IN"/>
        </w:rPr>
      </w:pPr>
      <w:r>
        <w:rPr>
          <w:rFonts w:ascii="Times New Roman" w:hAnsi="Times New Roman" w:eastAsia="Times New Roman" w:cs="Times New Roman"/>
          <w:b/>
          <w:bCs/>
          <w:color w:val="FF0066"/>
          <w:sz w:val="48"/>
          <w:szCs w:val="48"/>
          <w:u w:val="single"/>
          <w:lang w:bidi="mr-IN"/>
        </w:rPr>
        <w:t>Grievance Redressal Committee</w:t>
      </w:r>
    </w:p>
    <w:p w14:paraId="7190385E">
      <w:pPr>
        <w:shd w:val="clear" w:color="auto" w:fill="FFFFFF"/>
        <w:spacing w:after="225" w:line="240" w:lineRule="auto"/>
        <w:rPr>
          <w:rFonts w:ascii="Arial" w:hAnsi="Arial" w:eastAsia="Times New Roman" w:cs="Arial"/>
          <w:color w:val="000000"/>
          <w:sz w:val="21"/>
          <w:szCs w:val="21"/>
          <w:lang w:bidi="mr-IN"/>
        </w:rPr>
      </w:pPr>
      <w:r>
        <w:rPr>
          <w:rFonts w:ascii="Arial" w:hAnsi="Arial" w:eastAsia="Times New Roman" w:cs="Arial"/>
          <w:b/>
          <w:bCs/>
          <w:color w:val="000000"/>
          <w:sz w:val="21"/>
          <w:szCs w:val="21"/>
          <w:lang w:bidi="mr-IN"/>
        </w:rPr>
        <w:t>Reference:</w:t>
      </w:r>
      <w:r>
        <w:rPr>
          <w:rFonts w:ascii="Arial" w:hAnsi="Arial" w:eastAsia="Times New Roman" w:cs="Arial"/>
          <w:color w:val="727272"/>
          <w:sz w:val="21"/>
          <w:szCs w:val="21"/>
          <w:lang w:bidi="mr-IN"/>
        </w:rPr>
        <w:br w:type="textWrapping"/>
      </w:r>
      <w:r>
        <w:rPr>
          <w:rFonts w:ascii="Arial" w:hAnsi="Arial" w:eastAsia="Times New Roman" w:cs="Arial"/>
          <w:color w:val="000000"/>
          <w:sz w:val="21"/>
          <w:szCs w:val="21"/>
          <w:lang w:bidi="mr-IN"/>
        </w:rPr>
        <w:t>1. Establishment of Mechnism for Grievance Redressal Regulations 2012, F. No. 37-3/Legal112012, dated 25/05/2012.</w:t>
      </w:r>
      <w:r>
        <w:rPr>
          <w:rFonts w:ascii="Arial" w:hAnsi="Arial" w:eastAsia="Times New Roman" w:cs="Arial"/>
          <w:color w:val="727272"/>
          <w:sz w:val="21"/>
          <w:szCs w:val="21"/>
          <w:lang w:bidi="mr-IN"/>
        </w:rPr>
        <w:br w:type="textWrapping"/>
      </w:r>
      <w:r>
        <w:rPr>
          <w:rFonts w:ascii="Arial" w:hAnsi="Arial" w:eastAsia="Times New Roman" w:cs="Arial"/>
          <w:color w:val="000000"/>
          <w:sz w:val="21"/>
          <w:szCs w:val="21"/>
          <w:lang w:bidi="mr-IN"/>
        </w:rPr>
        <w:t>2. Approvel Process Handbook 2024-27, Clause no. 6.50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5306"/>
        <w:gridCol w:w="3006"/>
      </w:tblGrid>
      <w:tr w14:paraId="604FB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</w:tcPr>
          <w:p w14:paraId="111DC72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Sr. No.</w:t>
            </w:r>
          </w:p>
        </w:tc>
        <w:tc>
          <w:tcPr>
            <w:tcW w:w="5306" w:type="dxa"/>
          </w:tcPr>
          <w:p w14:paraId="3E6E9E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Name</w:t>
            </w:r>
          </w:p>
        </w:tc>
        <w:tc>
          <w:tcPr>
            <w:tcW w:w="3006" w:type="dxa"/>
          </w:tcPr>
          <w:p w14:paraId="34CE10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Designation</w:t>
            </w:r>
          </w:p>
        </w:tc>
      </w:tr>
      <w:tr w14:paraId="3032A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</w:tcPr>
          <w:p w14:paraId="6D3B22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5306" w:type="dxa"/>
          </w:tcPr>
          <w:p w14:paraId="7B5426A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Mrs.Shobha S.Kande</w:t>
            </w:r>
          </w:p>
          <w:p w14:paraId="10A40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Chairman GES’s Nashik</w:t>
            </w:r>
          </w:p>
        </w:tc>
        <w:tc>
          <w:tcPr>
            <w:tcW w:w="3006" w:type="dxa"/>
          </w:tcPr>
          <w:p w14:paraId="7EC6EB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Chairman</w:t>
            </w:r>
          </w:p>
        </w:tc>
      </w:tr>
      <w:tr w14:paraId="3789C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</w:tcPr>
          <w:p w14:paraId="22C9B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5306" w:type="dxa"/>
          </w:tcPr>
          <w:p w14:paraId="431A0FD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Mr.V.S.Zadkhande</w:t>
            </w:r>
          </w:p>
          <w:p w14:paraId="3076F85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Principal,GES’s Institute of Engineering &amp; Technology,Phulenagar Nandgaon</w:t>
            </w:r>
          </w:p>
        </w:tc>
        <w:tc>
          <w:tcPr>
            <w:tcW w:w="3006" w:type="dxa"/>
          </w:tcPr>
          <w:p w14:paraId="5F2207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Member Secretory</w:t>
            </w:r>
          </w:p>
        </w:tc>
      </w:tr>
      <w:tr w14:paraId="0EABC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</w:tcPr>
          <w:p w14:paraId="3AC325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5306" w:type="dxa"/>
          </w:tcPr>
          <w:p w14:paraId="39E91E0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Mr.Bhausaheb A.Sonawane</w:t>
            </w:r>
          </w:p>
          <w:p w14:paraId="6B88F5A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Secretary,GES’s,Nashik</w:t>
            </w:r>
          </w:p>
        </w:tc>
        <w:tc>
          <w:tcPr>
            <w:tcW w:w="3006" w:type="dxa"/>
          </w:tcPr>
          <w:p w14:paraId="0045BE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Member</w:t>
            </w:r>
          </w:p>
        </w:tc>
      </w:tr>
      <w:tr w14:paraId="655E9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</w:tcPr>
          <w:p w14:paraId="6FCFAF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5306" w:type="dxa"/>
          </w:tcPr>
          <w:p w14:paraId="15DF490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Mr.Ashok Kela(Industrialist)</w:t>
            </w:r>
          </w:p>
          <w:p w14:paraId="0D83E19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MD,Om Conatainer Super Industries,Malegaon MIDC,Sinner,Nashik</w:t>
            </w:r>
          </w:p>
        </w:tc>
        <w:tc>
          <w:tcPr>
            <w:tcW w:w="3006" w:type="dxa"/>
          </w:tcPr>
          <w:p w14:paraId="177101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Member</w:t>
            </w:r>
          </w:p>
        </w:tc>
      </w:tr>
      <w:tr w14:paraId="4BD34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</w:tcPr>
          <w:p w14:paraId="77CFE5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5306" w:type="dxa"/>
          </w:tcPr>
          <w:p w14:paraId="3F096BD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Major Jagannath Salunkhe</w:t>
            </w:r>
          </w:p>
          <w:p w14:paraId="7DB19B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Educationalist,President Prize winner for NCC,Nandgaon</w:t>
            </w:r>
          </w:p>
        </w:tc>
        <w:tc>
          <w:tcPr>
            <w:tcW w:w="3006" w:type="dxa"/>
          </w:tcPr>
          <w:p w14:paraId="21A4D6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Member</w:t>
            </w:r>
          </w:p>
        </w:tc>
      </w:tr>
      <w:tr w14:paraId="6D9C7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</w:tcPr>
          <w:p w14:paraId="037779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5306" w:type="dxa"/>
          </w:tcPr>
          <w:p w14:paraId="1E02351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AICTE,New Delhi(Nominee)</w:t>
            </w:r>
          </w:p>
          <w:p w14:paraId="19834CF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Response Awaited</w:t>
            </w:r>
          </w:p>
        </w:tc>
        <w:tc>
          <w:tcPr>
            <w:tcW w:w="3006" w:type="dxa"/>
          </w:tcPr>
          <w:p w14:paraId="5D2B9FC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Member</w:t>
            </w:r>
          </w:p>
        </w:tc>
      </w:tr>
      <w:tr w14:paraId="375EC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</w:tcPr>
          <w:p w14:paraId="27DA5A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5306" w:type="dxa"/>
          </w:tcPr>
          <w:p w14:paraId="7C3C6DC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Higher &amp; Technical Education</w:t>
            </w:r>
          </w:p>
          <w:p w14:paraId="7EC8EE2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Dept. Government of Maharashtra Response Awaited</w:t>
            </w:r>
          </w:p>
        </w:tc>
        <w:tc>
          <w:tcPr>
            <w:tcW w:w="3006" w:type="dxa"/>
          </w:tcPr>
          <w:p w14:paraId="7D656E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Member</w:t>
            </w:r>
          </w:p>
        </w:tc>
      </w:tr>
      <w:tr w14:paraId="2208D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</w:tcPr>
          <w:p w14:paraId="139223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5306" w:type="dxa"/>
          </w:tcPr>
          <w:p w14:paraId="686BD80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DTE,Mumbai(Nominee)</w:t>
            </w:r>
          </w:p>
        </w:tc>
        <w:tc>
          <w:tcPr>
            <w:tcW w:w="3006" w:type="dxa"/>
          </w:tcPr>
          <w:p w14:paraId="0C4A86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Member</w:t>
            </w:r>
          </w:p>
        </w:tc>
      </w:tr>
      <w:tr w14:paraId="470EE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</w:tcPr>
          <w:p w14:paraId="30DAA2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5306" w:type="dxa"/>
          </w:tcPr>
          <w:p w14:paraId="06DAFA8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MSBTE Mumbai(Nominee)</w:t>
            </w:r>
          </w:p>
          <w:p w14:paraId="4E87B9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Response Awaited</w:t>
            </w:r>
          </w:p>
        </w:tc>
        <w:tc>
          <w:tcPr>
            <w:tcW w:w="3006" w:type="dxa"/>
          </w:tcPr>
          <w:p w14:paraId="47E213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Member</w:t>
            </w:r>
          </w:p>
        </w:tc>
      </w:tr>
      <w:tr w14:paraId="2B3B6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</w:tcPr>
          <w:p w14:paraId="62EB3F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5306" w:type="dxa"/>
          </w:tcPr>
          <w:p w14:paraId="4042334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Mrs.Sheetal R. Jain</w:t>
            </w:r>
          </w:p>
          <w:p w14:paraId="75F30D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Faculty Representative</w:t>
            </w:r>
          </w:p>
        </w:tc>
        <w:tc>
          <w:tcPr>
            <w:tcW w:w="3006" w:type="dxa"/>
          </w:tcPr>
          <w:p w14:paraId="086BD0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Member</w:t>
            </w:r>
          </w:p>
        </w:tc>
      </w:tr>
    </w:tbl>
    <w:p w14:paraId="3DC60077">
      <w:pPr>
        <w:shd w:val="clear" w:color="auto" w:fill="FFFFFF"/>
        <w:spacing w:after="225" w:line="240" w:lineRule="auto"/>
        <w:rPr>
          <w:rFonts w:ascii="Arial" w:hAnsi="Arial" w:eastAsia="Times New Roman" w:cs="Arial"/>
          <w:color w:val="000000"/>
          <w:sz w:val="21"/>
          <w:szCs w:val="21"/>
          <w:lang w:bidi="mr-IN"/>
        </w:rPr>
      </w:pPr>
    </w:p>
    <w:p w14:paraId="59E22BB3">
      <w:pPr>
        <w:shd w:val="clear" w:color="auto" w:fill="FFFFFF"/>
        <w:spacing w:after="225" w:line="240" w:lineRule="auto"/>
        <w:rPr>
          <w:rFonts w:ascii="Arial" w:hAnsi="Arial" w:eastAsia="Times New Roman" w:cs="Arial"/>
          <w:color w:val="000000"/>
          <w:sz w:val="21"/>
          <w:szCs w:val="21"/>
          <w:lang w:bidi="mr-IN"/>
        </w:rPr>
      </w:pPr>
      <w:bookmarkStart w:id="0" w:name="_GoBack"/>
      <w:bookmarkEnd w:id="0"/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angal">
    <w:altName w:val="Segoe Print"/>
    <w:panose1 w:val="02040503050203030202"/>
    <w:charset w:val="00"/>
    <w:family w:val="roman"/>
    <w:pitch w:val="default"/>
    <w:sig w:usb0="00000000" w:usb1="00000000" w:usb2="00000000" w:usb3="00000000" w:csb0="00000001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8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E19"/>
    <w:rsid w:val="00344E19"/>
    <w:rsid w:val="00E768D4"/>
    <w:rsid w:val="7E492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2"/>
    <w:basedOn w:val="1"/>
    <w:link w:val="9"/>
    <w:qFormat/>
    <w:uiPriority w:val="9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  <w:lang w:bidi="mr-IN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semiHidden/>
    <w:unhideWhenUsed/>
    <w:uiPriority w:val="99"/>
    <w:rPr>
      <w:color w:val="0000FF"/>
      <w:u w:val="single"/>
    </w:rPr>
  </w:style>
  <w:style w:type="paragraph" w:styleId="6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bidi="mr-IN"/>
    </w:rPr>
  </w:style>
  <w:style w:type="character" w:styleId="7">
    <w:name w:val="Strong"/>
    <w:basedOn w:val="3"/>
    <w:qFormat/>
    <w:uiPriority w:val="22"/>
    <w:rPr>
      <w:b/>
      <w:bCs/>
    </w:rPr>
  </w:style>
  <w:style w:type="table" w:styleId="8">
    <w:name w:val="Table Grid"/>
    <w:basedOn w:val="4"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Heading 2 Char"/>
    <w:basedOn w:val="3"/>
    <w:link w:val="2"/>
    <w:uiPriority w:val="9"/>
    <w:rPr>
      <w:rFonts w:ascii="Times New Roman" w:hAnsi="Times New Roman" w:eastAsia="Times New Roman" w:cs="Times New Roman"/>
      <w:b/>
      <w:bCs/>
      <w:sz w:val="36"/>
      <w:szCs w:val="36"/>
      <w:lang w:bidi="mr-IN"/>
    </w:rPr>
  </w:style>
  <w:style w:type="paragraph" w:customStyle="1" w:styleId="10">
    <w:name w:val="style69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bidi="mr-IN"/>
    </w:rPr>
  </w:style>
  <w:style w:type="paragraph" w:customStyle="1" w:styleId="11">
    <w:name w:val="sap1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bidi="mr-I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185</Words>
  <Characters>1059</Characters>
  <Lines>8</Lines>
  <Paragraphs>2</Paragraphs>
  <TotalTime>0</TotalTime>
  <ScaleCrop>false</ScaleCrop>
  <LinksUpToDate>false</LinksUpToDate>
  <CharactersWithSpaces>1242</CharactersWithSpaces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2025-03-31T06:45:00Z</dcterms:created>
  <dc:creator>user</dc:creator>
  <cp:lastModifiedBy>Mayuri bagul</cp:lastModifiedBy>
  <dcterms:modified xsi:type="dcterms:W3CDTF">2025-03-31T07:30:13Z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1033-12.2.0.20782</vt:lpwstr>
  </property>
  <property fmtid="{D5CDD505-2E9C-101B-9397-08002B2CF9AE}" pid="3" name="ICV">
    <vt:lpwstr>24C69770CA1A422884C2D3178049E1F4_12</vt:lpwstr>
  </property>
</Properties>
</file>